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0" w:rsidRPr="00B8260E" w:rsidRDefault="002332B0" w:rsidP="00B8260E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B8260E">
        <w:rPr>
          <w:b/>
          <w:bCs/>
          <w:sz w:val="28"/>
          <w:szCs w:val="28"/>
        </w:rPr>
        <w:t>Выписка</w:t>
      </w:r>
    </w:p>
    <w:p w:rsidR="002332B0" w:rsidRPr="00B8260E" w:rsidRDefault="002332B0" w:rsidP="00B8260E">
      <w:pPr>
        <w:pStyle w:val="western"/>
        <w:spacing w:after="0" w:afterAutospacing="0"/>
        <w:jc w:val="both"/>
        <w:rPr>
          <w:b/>
          <w:bCs/>
          <w:color w:val="000000"/>
          <w:shd w:val="clear" w:color="auto" w:fill="FFFFFF"/>
        </w:rPr>
      </w:pPr>
      <w:r w:rsidRPr="00B8260E">
        <w:rPr>
          <w:b/>
          <w:bCs/>
        </w:rPr>
        <w:t xml:space="preserve"> из </w:t>
      </w:r>
      <w:r w:rsidRPr="00B8260E">
        <w:rPr>
          <w:b/>
          <w:bCs/>
          <w:color w:val="000000"/>
          <w:shd w:val="clear" w:color="auto" w:fill="FFFFFF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rPr>
          <w:b/>
          <w:bCs/>
        </w:rPr>
        <w:t>V. Требования к помещениям и оборудованию</w:t>
      </w:r>
      <w:r w:rsidR="00B8260E">
        <w:t xml:space="preserve"> </w:t>
      </w:r>
      <w:r w:rsidRPr="00B8260E">
        <w:rPr>
          <w:b/>
          <w:bCs/>
        </w:rPr>
        <w:t>общеобразовательных учреждений</w:t>
      </w:r>
    </w:p>
    <w:p w:rsidR="00B8260E" w:rsidRDefault="002332B0" w:rsidP="00B8260E">
      <w:pPr>
        <w:pStyle w:val="western"/>
        <w:spacing w:after="0" w:afterAutospacing="0"/>
        <w:jc w:val="both"/>
      </w:pPr>
      <w:r w:rsidRPr="00B8260E">
        <w:t xml:space="preserve">5.1. </w:t>
      </w:r>
      <w:proofErr w:type="gramStart"/>
      <w:r w:rsidRPr="00B8260E"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  <w:r w:rsidR="00B8260E">
        <w:t xml:space="preserve"> </w:t>
      </w:r>
      <w:r w:rsidRPr="00B8260E"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="00B8260E">
        <w:t xml:space="preserve"> </w:t>
      </w:r>
      <w:r w:rsidRPr="00B8260E"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B8260E">
        <w:t>росто-возрастным</w:t>
      </w:r>
      <w:proofErr w:type="spellEnd"/>
      <w:r w:rsidRPr="00B8260E">
        <w:t xml:space="preserve"> особенностям детей и требованиям эргономики.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5.3. Основным видом ученической мебели для </w:t>
      </w:r>
      <w:proofErr w:type="gramStart"/>
      <w:r w:rsidRPr="00B8260E">
        <w:t>обучающихся</w:t>
      </w:r>
      <w:proofErr w:type="gramEnd"/>
      <w:r w:rsidRPr="00B8260E">
        <w:t xml:space="preserve"> I ступени образования должна быть школьная парта, обеспеченная регулятором наклона поверхности рабочей плоскости. </w:t>
      </w:r>
      <w:proofErr w:type="gramStart"/>
      <w:r w:rsidRPr="00B8260E">
        <w:t>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  <w:r w:rsidR="00B8260E">
        <w:t xml:space="preserve"> </w:t>
      </w:r>
      <w:r w:rsidRPr="00B8260E">
        <w:t xml:space="preserve">Размеры учебной мебели в зависимости от роста </w:t>
      </w:r>
      <w:proofErr w:type="gramStart"/>
      <w:r w:rsidRPr="00B8260E">
        <w:t>обучающихся</w:t>
      </w:r>
      <w:proofErr w:type="gramEnd"/>
      <w:r w:rsidRPr="00B8260E">
        <w:t xml:space="preserve"> должны соответствовать значениям, приведенным в таблице 1.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Таблица 1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rPr>
          <w:b/>
          <w:bCs/>
        </w:rPr>
        <w:t>Размеры мебели и ее маркировка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3"/>
        <w:gridCol w:w="1929"/>
        <w:gridCol w:w="1945"/>
        <w:gridCol w:w="1929"/>
        <w:gridCol w:w="1929"/>
      </w:tblGrid>
      <w:tr w:rsidR="002332B0" w:rsidRPr="00B8260E" w:rsidTr="00094FA2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rPr>
                <w:b/>
                <w:bCs/>
              </w:rPr>
              <w:t xml:space="preserve">Номера мебели по </w:t>
            </w:r>
            <w:proofErr w:type="spellStart"/>
            <w:r w:rsidRPr="00B8260E">
              <w:rPr>
                <w:b/>
                <w:bCs/>
              </w:rPr>
              <w:t>ГОСТам</w:t>
            </w:r>
            <w:proofErr w:type="spellEnd"/>
          </w:p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rPr>
                <w:b/>
                <w:bCs/>
              </w:rPr>
              <w:t>11015-93</w:t>
            </w:r>
          </w:p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rPr>
                <w:b/>
                <w:bCs/>
              </w:rPr>
              <w:t>11016-93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rPr>
                <w:b/>
                <w:bCs/>
              </w:rPr>
              <w:t xml:space="preserve">Группа роста </w:t>
            </w:r>
          </w:p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rPr>
                <w:b/>
                <w:bCs/>
              </w:rPr>
              <w:t xml:space="preserve">(в </w:t>
            </w:r>
            <w:proofErr w:type="gramStart"/>
            <w:r w:rsidRPr="00B8260E">
              <w:rPr>
                <w:b/>
                <w:bCs/>
              </w:rPr>
              <w:t>мм</w:t>
            </w:r>
            <w:proofErr w:type="gramEnd"/>
            <w:r w:rsidRPr="00B8260E">
              <w:rPr>
                <w:b/>
                <w:bCs/>
              </w:rPr>
              <w:t>)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rPr>
                <w:b/>
                <w:bCs/>
              </w:rPr>
              <w:t xml:space="preserve">Высота над полом крышки края стола, обращенного к ученику по </w:t>
            </w:r>
            <w:proofErr w:type="spellStart"/>
            <w:r w:rsidRPr="00B8260E">
              <w:rPr>
                <w:b/>
                <w:bCs/>
              </w:rPr>
              <w:t>ГОСТу</w:t>
            </w:r>
            <w:proofErr w:type="spellEnd"/>
            <w:r w:rsidRPr="00B8260E">
              <w:rPr>
                <w:b/>
                <w:bCs/>
              </w:rPr>
              <w:t xml:space="preserve"> 11015-93 (в </w:t>
            </w:r>
            <w:proofErr w:type="gramStart"/>
            <w:r w:rsidRPr="00B8260E">
              <w:rPr>
                <w:b/>
                <w:bCs/>
              </w:rPr>
              <w:t>мм</w:t>
            </w:r>
            <w:proofErr w:type="gramEnd"/>
            <w:r w:rsidRPr="00B8260E">
              <w:rPr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rPr>
                <w:b/>
                <w:bCs/>
              </w:rPr>
              <w:t>Цвет маркировки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rPr>
                <w:b/>
                <w:bCs/>
              </w:rPr>
              <w:t xml:space="preserve">Высота над полом переднего края сиденья по </w:t>
            </w:r>
            <w:proofErr w:type="spellStart"/>
            <w:r w:rsidRPr="00B8260E">
              <w:rPr>
                <w:b/>
                <w:bCs/>
              </w:rPr>
              <w:t>ГОСТу</w:t>
            </w:r>
            <w:proofErr w:type="spellEnd"/>
            <w:r w:rsidRPr="00B8260E">
              <w:rPr>
                <w:b/>
                <w:bCs/>
              </w:rPr>
              <w:t xml:space="preserve"> 11016-93 (в </w:t>
            </w:r>
            <w:proofErr w:type="gramStart"/>
            <w:r w:rsidRPr="00B8260E">
              <w:rPr>
                <w:b/>
                <w:bCs/>
              </w:rPr>
              <w:t>мм</w:t>
            </w:r>
            <w:proofErr w:type="gramEnd"/>
            <w:r w:rsidRPr="00B8260E">
              <w:rPr>
                <w:b/>
                <w:bCs/>
              </w:rPr>
              <w:t>)</w:t>
            </w:r>
          </w:p>
        </w:tc>
      </w:tr>
      <w:tr w:rsidR="002332B0" w:rsidRPr="00B8260E" w:rsidTr="00094FA2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numPr>
                <w:ilvl w:val="0"/>
                <w:numId w:val="1"/>
              </w:num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1000 -1150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460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Оранжевый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260</w:t>
            </w:r>
          </w:p>
        </w:tc>
      </w:tr>
      <w:tr w:rsidR="002332B0" w:rsidRPr="00B8260E" w:rsidTr="00094FA2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1150 - 1300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520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Фиолетовый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300</w:t>
            </w:r>
          </w:p>
        </w:tc>
      </w:tr>
      <w:tr w:rsidR="002332B0" w:rsidRPr="00B8260E" w:rsidTr="00094FA2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numPr>
                <w:ilvl w:val="0"/>
                <w:numId w:val="3"/>
              </w:num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1300 - 1450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580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Желтый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340</w:t>
            </w:r>
          </w:p>
        </w:tc>
      </w:tr>
      <w:tr w:rsidR="002332B0" w:rsidRPr="00B8260E" w:rsidTr="00094FA2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numPr>
                <w:ilvl w:val="0"/>
                <w:numId w:val="4"/>
              </w:num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1450 - 1600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640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Красный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380</w:t>
            </w:r>
          </w:p>
        </w:tc>
      </w:tr>
      <w:tr w:rsidR="002332B0" w:rsidRPr="00B8260E" w:rsidTr="00094FA2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numPr>
                <w:ilvl w:val="0"/>
                <w:numId w:val="5"/>
              </w:num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1600 - 1750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700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Зеленый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420</w:t>
            </w:r>
          </w:p>
        </w:tc>
      </w:tr>
      <w:tr w:rsidR="002332B0" w:rsidRPr="00B8260E" w:rsidTr="00094FA2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numPr>
                <w:ilvl w:val="0"/>
                <w:numId w:val="6"/>
              </w:num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Свыше 1750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760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proofErr w:type="spellStart"/>
            <w:r w:rsidRPr="00B8260E">
              <w:t>Голубой</w:t>
            </w:r>
            <w:proofErr w:type="spellEnd"/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  <w:r w:rsidRPr="00B8260E">
              <w:t>460</w:t>
            </w:r>
          </w:p>
        </w:tc>
      </w:tr>
    </w:tbl>
    <w:p w:rsidR="002332B0" w:rsidRPr="00B8260E" w:rsidRDefault="002332B0" w:rsidP="00B8260E">
      <w:pPr>
        <w:pStyle w:val="western"/>
        <w:spacing w:after="0" w:afterAutospacing="0"/>
        <w:jc w:val="both"/>
      </w:pP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lastRenderedPageBreak/>
        <w:t>Допускается совмещенный вариант использования разных видов ученической мебели (парты, конторки).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 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Детей с нарушением зрения рекомендуется рассаживать на ближние к классной доске парты.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Детей, часто болеющих ОРЗ, ангинами, простудными заболеваниями, следует рассаживать дальше от наружной стены.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5.6. При оборудовании учебных помещений соблюдаются следующие размеры проходов и расстояния в сантиметрах: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- между рядами двухместных столов - не менее 60;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- между рядом столов и наружной продольной стеной - не менее 50 - 70;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- от демонстрационного стола до учебной доски - не менее 100;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- от первой парты до учебной доски - не менее 240;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- наибольшая удаленность последнего места обучающегося от учебной доски - 860;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lastRenderedPageBreak/>
        <w:t>- высота нижнего края учебной доски над полом - 70 - 90;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Самое удаленное от окон место занятий не должно находиться далее 6,0 м.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B8260E">
        <w:t>светонесущей</w:t>
      </w:r>
      <w:proofErr w:type="spellEnd"/>
      <w:r w:rsidRPr="00B8260E">
        <w:t>, с соблюдением требований по размерам проходов и расстояний между оборудованием.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Данная расстановка мебели не распространяется на учебные помещения, оборудованные интерактивными досками.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Кабинет химии и </w:t>
      </w:r>
      <w:proofErr w:type="gramStart"/>
      <w:r w:rsidRPr="00B8260E">
        <w:t>лаборантская</w:t>
      </w:r>
      <w:proofErr w:type="gramEnd"/>
      <w:r w:rsidRPr="00B8260E">
        <w:t xml:space="preserve"> оборудуются вытяжными шкафами.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lastRenderedPageBreak/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5.10. Мастерские для трудового обучения должны иметь площадь из расчета 6,0 м</w:t>
      </w:r>
      <w:proofErr w:type="gramStart"/>
      <w:r w:rsidRPr="00B8260E">
        <w:rPr>
          <w:vertAlign w:val="superscript"/>
        </w:rPr>
        <w:t>2</w:t>
      </w:r>
      <w:proofErr w:type="gramEnd"/>
      <w:r w:rsidRPr="00B8260E"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Столярные мастерские оборудуются верстаками, расставленными либо под углом 45 к окну, либо в 3 ряда перпендикулярно </w:t>
      </w:r>
      <w:proofErr w:type="spellStart"/>
      <w:r w:rsidRPr="00B8260E">
        <w:t>светонесущей</w:t>
      </w:r>
      <w:proofErr w:type="spellEnd"/>
      <w:r w:rsidRPr="00B8260E"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B8260E">
        <w:t>передне-заднем</w:t>
      </w:r>
      <w:proofErr w:type="spellEnd"/>
      <w:proofErr w:type="gramEnd"/>
      <w:r w:rsidRPr="00B8260E">
        <w:t xml:space="preserve"> направлении.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B8260E">
        <w:t>светонесущей</w:t>
      </w:r>
      <w:proofErr w:type="spellEnd"/>
      <w:r w:rsidRPr="00B8260E"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proofErr w:type="gramStart"/>
      <w:r w:rsidRPr="00B8260E"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B8260E">
        <w:t>электрополотенцами</w:t>
      </w:r>
      <w:proofErr w:type="spellEnd"/>
      <w:r w:rsidRPr="00B8260E">
        <w:t xml:space="preserve"> или бумажными полотенцами.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B8260E">
        <w:t>двухгнездных</w:t>
      </w:r>
      <w:proofErr w:type="spellEnd"/>
      <w:r w:rsidRPr="00B8260E"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lastRenderedPageBreak/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 w:rsidRPr="00B8260E">
        <w:t>х</w:t>
      </w:r>
      <w:proofErr w:type="spellEnd"/>
      <w:r w:rsidRPr="00B8260E">
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rPr>
          <w:b/>
          <w:bCs/>
        </w:rPr>
        <w:t>VI. Требования к воздушно-тепловому режиму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Ограждения из древесно-стружечных плит и других полимерных материалов не допускаются.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 w:rsidRPr="00B8260E">
        <w:t xml:space="preserve"> С</w:t>
      </w:r>
      <w:proofErr w:type="gramEnd"/>
      <w:r w:rsidRPr="00B8260E">
        <w:t xml:space="preserve">; в спортзале и комнатах для проведения секционных занятий, мастерских - 17 - 20 С; </w:t>
      </w:r>
      <w:r w:rsidRPr="00B8260E">
        <w:lastRenderedPageBreak/>
        <w:t>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</w:t>
      </w:r>
      <w:proofErr w:type="gramStart"/>
      <w:r w:rsidRPr="00B8260E">
        <w:t xml:space="preserve"> С</w:t>
      </w:r>
      <w:proofErr w:type="gramEnd"/>
      <w:r w:rsidRPr="00B8260E">
        <w:t>, душевых - 25 С.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Для контроля температурного режима учебные помещения и кабинеты должны быть оснащены бытовыми термометрами.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6.3. Во </w:t>
      </w:r>
      <w:proofErr w:type="spellStart"/>
      <w:r w:rsidRPr="00B8260E">
        <w:t>внеучебное</w:t>
      </w:r>
      <w:proofErr w:type="spellEnd"/>
      <w:r w:rsidRPr="00B8260E">
        <w:t xml:space="preserve"> время при отсутствии детей в помещениях общеобразовательного учреждения должна поддерживаться температура не ниже 15 С.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B8260E">
        <w:t>позднее</w:t>
      </w:r>
      <w:proofErr w:type="gramEnd"/>
      <w:r w:rsidRPr="00B8260E">
        <w:t xml:space="preserve"> чем за два часа до прихода обучающихся.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Для вновь строящихся и реконструируемых зданий общеобразовательных учреждений печное отопление не допускается.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Таблица 2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rPr>
          <w:b/>
          <w:bCs/>
        </w:rPr>
        <w:t xml:space="preserve">Рекомендуемая продолжительность сквозного проветривания учебных помещений в зависимости от </w:t>
      </w:r>
      <w:proofErr w:type="spellStart"/>
      <w:r w:rsidRPr="00B8260E">
        <w:rPr>
          <w:b/>
          <w:bCs/>
        </w:rPr>
        <w:t>темпрературы</w:t>
      </w:r>
      <w:proofErr w:type="spellEnd"/>
      <w:r w:rsidRPr="00B8260E">
        <w:rPr>
          <w:b/>
          <w:bCs/>
        </w:rPr>
        <w:t xml:space="preserve"> наружного воздуха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814"/>
        <w:gridCol w:w="2423"/>
        <w:gridCol w:w="2423"/>
      </w:tblGrid>
      <w:tr w:rsidR="002332B0" w:rsidRPr="00B8260E" w:rsidTr="00094FA2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Наружная температура С</w:t>
            </w:r>
            <w:proofErr w:type="gramStart"/>
            <w:r w:rsidRPr="00B8260E">
              <w:rPr>
                <w:vertAlign w:val="superscript"/>
              </w:rPr>
              <w:t>0</w:t>
            </w:r>
            <w:proofErr w:type="gramEnd"/>
          </w:p>
        </w:tc>
        <w:tc>
          <w:tcPr>
            <w:tcW w:w="4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Длительность проветривания помещения (мин)</w:t>
            </w:r>
          </w:p>
        </w:tc>
      </w:tr>
      <w:tr w:rsidR="002332B0" w:rsidRPr="00B8260E" w:rsidTr="00094FA2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western"/>
              <w:spacing w:after="0" w:afterAutospacing="0"/>
              <w:jc w:val="both"/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В малые перемены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 xml:space="preserve">В большие перемены и между сменами </w:t>
            </w:r>
          </w:p>
        </w:tc>
      </w:tr>
      <w:tr w:rsidR="002332B0" w:rsidRPr="00B8260E" w:rsidTr="00094FA2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 xml:space="preserve">От + 10 до +6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4-10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25-35</w:t>
            </w:r>
          </w:p>
        </w:tc>
      </w:tr>
      <w:tr w:rsidR="002332B0" w:rsidRPr="00B8260E" w:rsidTr="00094FA2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От +5 до 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3-7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20-30</w:t>
            </w:r>
          </w:p>
        </w:tc>
      </w:tr>
      <w:tr w:rsidR="002332B0" w:rsidRPr="00B8260E" w:rsidTr="00094FA2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От 0 до -5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2-5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15-25</w:t>
            </w:r>
          </w:p>
        </w:tc>
      </w:tr>
      <w:tr w:rsidR="002332B0" w:rsidRPr="00B8260E" w:rsidTr="00094FA2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От -5 до -10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1-3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10-15</w:t>
            </w:r>
          </w:p>
        </w:tc>
      </w:tr>
      <w:tr w:rsidR="002332B0" w:rsidRPr="00B8260E" w:rsidTr="00094FA2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Ниже - 10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1-1,5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2B0" w:rsidRPr="00B8260E" w:rsidRDefault="002332B0" w:rsidP="00B8260E">
            <w:pPr>
              <w:pStyle w:val="a3"/>
              <w:spacing w:after="0" w:afterAutospacing="0"/>
              <w:jc w:val="both"/>
            </w:pPr>
            <w:r w:rsidRPr="00B8260E">
              <w:t>5-10</w:t>
            </w:r>
          </w:p>
        </w:tc>
      </w:tr>
    </w:tbl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6.7. Уроки физической культуры и занятия спортивных секций следует проводить в хорошо аэрируемых спортивных залах.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Необходимо во 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 w:rsidRPr="00B8260E">
        <w:t xml:space="preserve"> С</w:t>
      </w:r>
      <w:proofErr w:type="gramEnd"/>
      <w:r w:rsidRPr="00B8260E"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</w:t>
      </w:r>
      <w:proofErr w:type="gramStart"/>
      <w:r w:rsidRPr="00B8260E">
        <w:t xml:space="preserve"> С</w:t>
      </w:r>
      <w:proofErr w:type="gramEnd"/>
      <w:r w:rsidRPr="00B8260E">
        <w:t xml:space="preserve"> и скорости движения воздуха более 7 м/с сквозное </w:t>
      </w:r>
      <w:r w:rsidRPr="00B8260E">
        <w:lastRenderedPageBreak/>
        <w:t>проветривание зала проводится при отсутствии учащихся 1 - 1,5 минуты; в большие перемены и между сменами - 5 - 10 минут.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При достижении температуры воздуха плюс 14</w:t>
      </w:r>
      <w:proofErr w:type="gramStart"/>
      <w:r w:rsidRPr="00B8260E">
        <w:t xml:space="preserve"> С</w:t>
      </w:r>
      <w:proofErr w:type="gramEnd"/>
      <w:r w:rsidRPr="00B8260E">
        <w:t xml:space="preserve"> проветривание в спортивном зале следует прекращать.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6.9. При замене оконных блоков площадь остекления должна быть сохранена или увеличена.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Плоскость открытия окон должна обеспечивать режим проветривания.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6.10. Остекление окон должно быть выполнено из </w:t>
      </w:r>
      <w:proofErr w:type="gramStart"/>
      <w:r w:rsidRPr="00B8260E">
        <w:t>цельного</w:t>
      </w:r>
      <w:proofErr w:type="gramEnd"/>
      <w:r w:rsidRPr="00B8260E">
        <w:t xml:space="preserve"> </w:t>
      </w:r>
      <w:proofErr w:type="spellStart"/>
      <w:r w:rsidRPr="00B8260E">
        <w:t>стеклополотна</w:t>
      </w:r>
      <w:proofErr w:type="spellEnd"/>
      <w:r w:rsidRPr="00B8260E">
        <w:t>. Замена разбитых стекол должна проводиться немедленно.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rPr>
          <w:b/>
          <w:bCs/>
        </w:rPr>
        <w:t>VII. Требования к естественному и искусственному освещению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7.1. Естественное освещение.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7.1.2. </w:t>
      </w:r>
      <w:proofErr w:type="gramStart"/>
      <w:r w:rsidRPr="00B8260E"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B8260E">
        <w:t>кинофотолаборатории</w:t>
      </w:r>
      <w:proofErr w:type="spellEnd"/>
      <w:r w:rsidRPr="00B8260E"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lastRenderedPageBreak/>
        <w:t xml:space="preserve">Не допускается направление основного светового потока спереди и сзади от </w:t>
      </w:r>
      <w:proofErr w:type="gramStart"/>
      <w:r w:rsidRPr="00B8260E">
        <w:t>обучающихся</w:t>
      </w:r>
      <w:proofErr w:type="gramEnd"/>
      <w:r w:rsidRPr="00B8260E">
        <w:t>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Световой коэффициент (СК - отношение площади остекленной поверхности к площади пола) должен составлять не менее 1:6.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7.1.8. </w:t>
      </w:r>
      <w:proofErr w:type="spellStart"/>
      <w:r w:rsidRPr="00B8260E">
        <w:t>Светопроемы</w:t>
      </w:r>
      <w:proofErr w:type="spellEnd"/>
      <w:r w:rsidRPr="00B8260E"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В нерабочем состоянии шторы необходимо размещать в простенках между окнами.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7.1.9. Для рационального использования дневного света и равномерного освещения учебных помещений следует: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- не закрашивать оконные стекла;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- очистку и мытье стекол проводить по мере загрязнения, но не реже 2 раз в год (осенью и весной).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- 2,5 ч. в северной зоне (севернее 58 градусов </w:t>
      </w:r>
      <w:proofErr w:type="spellStart"/>
      <w:r w:rsidRPr="00B8260E">
        <w:t>с.ш</w:t>
      </w:r>
      <w:proofErr w:type="spellEnd"/>
      <w:r w:rsidRPr="00B8260E">
        <w:t>.);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lastRenderedPageBreak/>
        <w:t xml:space="preserve">- 2,0 ч. в центральной зоне (58 - 48 градусов </w:t>
      </w:r>
      <w:proofErr w:type="spellStart"/>
      <w:r w:rsidRPr="00B8260E">
        <w:t>с.ш</w:t>
      </w:r>
      <w:proofErr w:type="spellEnd"/>
      <w:r w:rsidRPr="00B8260E">
        <w:t>.);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- 1,5 ч. в южной зоне (южнее 48 градусов </w:t>
      </w:r>
      <w:proofErr w:type="spellStart"/>
      <w:r w:rsidRPr="00B8260E">
        <w:t>с.ш</w:t>
      </w:r>
      <w:proofErr w:type="spellEnd"/>
      <w:r w:rsidRPr="00B8260E">
        <w:t>.).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7.2. Искусственное освещение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 w:rsidRPr="00B8260E">
        <w:t>цветоизлучения</w:t>
      </w:r>
      <w:proofErr w:type="spellEnd"/>
      <w:r w:rsidRPr="00B8260E">
        <w:t xml:space="preserve">: </w:t>
      </w:r>
      <w:proofErr w:type="gramStart"/>
      <w:r w:rsidRPr="00B8260E">
        <w:t>белый</w:t>
      </w:r>
      <w:proofErr w:type="gramEnd"/>
      <w:r w:rsidRPr="00B8260E">
        <w:t>, тепло-белый, естественно-белый.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7.2.3. Не следует использовать в одном помещении люминесцентные лампы и лампы накаливания для общего освещения.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7.2.4. </w:t>
      </w:r>
      <w:proofErr w:type="gramStart"/>
      <w:r w:rsidRPr="00B8260E"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  <w:proofErr w:type="gramEnd"/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B8260E">
        <w:t>светонесущей</w:t>
      </w:r>
      <w:proofErr w:type="spellEnd"/>
      <w:r w:rsidRPr="00B8260E">
        <w:t xml:space="preserve"> стене на расстоянии 1,2 м от наружной стены и 1,5 м от внутренней.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Рекомендуется светильники размещать выше верхнего края доски на 0,3 м и на 0,6 м в сторону класса перед доской.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</w:t>
      </w:r>
      <w:r w:rsidRPr="00B8260E">
        <w:lastRenderedPageBreak/>
        <w:t>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proofErr w:type="gramStart"/>
      <w:r w:rsidRPr="00B8260E"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</w:t>
      </w:r>
      <w:proofErr w:type="spellStart"/>
      <w:r w:rsidRPr="00B8260E">
        <w:t>розового</w:t>
      </w:r>
      <w:proofErr w:type="spellEnd"/>
      <w:r w:rsidRPr="00B8260E">
        <w:t xml:space="preserve">, зеленого, </w:t>
      </w:r>
      <w:proofErr w:type="spellStart"/>
      <w:r w:rsidRPr="00B8260E">
        <w:t>голубого</w:t>
      </w:r>
      <w:proofErr w:type="spellEnd"/>
      <w:r w:rsidRPr="00B8260E"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2332B0" w:rsidRPr="00B8260E" w:rsidRDefault="002332B0" w:rsidP="00B8260E">
      <w:pPr>
        <w:pStyle w:val="western"/>
        <w:spacing w:after="0" w:afterAutospacing="0"/>
        <w:jc w:val="both"/>
      </w:pPr>
      <w:r w:rsidRPr="00B8260E"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C649E0" w:rsidRPr="00B8260E" w:rsidRDefault="00C649E0" w:rsidP="00B8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9E0" w:rsidRPr="00B8260E" w:rsidSect="00E1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C4E"/>
    <w:multiLevelType w:val="multilevel"/>
    <w:tmpl w:val="5AB64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25704"/>
    <w:multiLevelType w:val="multilevel"/>
    <w:tmpl w:val="5AB64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92495"/>
    <w:multiLevelType w:val="multilevel"/>
    <w:tmpl w:val="5AB64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45A0F"/>
    <w:multiLevelType w:val="multilevel"/>
    <w:tmpl w:val="5AB64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F2049"/>
    <w:multiLevelType w:val="multilevel"/>
    <w:tmpl w:val="5AB64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15750"/>
    <w:multiLevelType w:val="multilevel"/>
    <w:tmpl w:val="5AB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332B0"/>
    <w:rsid w:val="002332B0"/>
    <w:rsid w:val="00B8260E"/>
    <w:rsid w:val="00C649E0"/>
    <w:rsid w:val="00E1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3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3400</Words>
  <Characters>19383</Characters>
  <Application>Microsoft Office Word</Application>
  <DocSecurity>0</DocSecurity>
  <Lines>161</Lines>
  <Paragraphs>45</Paragraphs>
  <ScaleCrop>false</ScaleCrop>
  <Company/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2015-08-28T03:48:00Z</dcterms:created>
  <dcterms:modified xsi:type="dcterms:W3CDTF">2015-09-02T07:41:00Z</dcterms:modified>
</cp:coreProperties>
</file>